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D3AB" w14:textId="77777777" w:rsidR="003F75EF" w:rsidRDefault="003F75EF" w:rsidP="005A7B86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0A043459" w14:textId="20960DBD" w:rsidR="005A7B86" w:rsidRPr="00B22FFE" w:rsidRDefault="005A7B86" w:rsidP="005A7B86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B22FFE">
        <w:rPr>
          <w:rFonts w:ascii="Calibri" w:hAnsi="Calibri" w:cs="Arial"/>
          <w:b/>
          <w:bCs/>
          <w:sz w:val="28"/>
          <w:szCs w:val="28"/>
        </w:rPr>
        <w:t>APPLICATION FOR REDUCED FEES</w:t>
      </w:r>
    </w:p>
    <w:p w14:paraId="378FD399" w14:textId="379C80C1" w:rsidR="00F86D23" w:rsidRPr="00B22FFE" w:rsidRDefault="00F86D23">
      <w:pPr>
        <w:rPr>
          <w:rFonts w:ascii="Calibri" w:hAnsi="Calibri" w:cs="Arial"/>
          <w:sz w:val="24"/>
          <w:szCs w:val="24"/>
        </w:rPr>
      </w:pPr>
      <w:r w:rsidRPr="00B22FFE">
        <w:rPr>
          <w:rFonts w:ascii="Calibri" w:hAnsi="Calibri" w:cs="Arial"/>
          <w:sz w:val="24"/>
          <w:szCs w:val="24"/>
        </w:rPr>
        <w:t xml:space="preserve">The Eckelmann-Taylor Speech and Hearing Clinic serves all clients regardless of their insurance or financial class.  As a non-profit organization, we strive to perform services and provide products at reasonable costs.  Fees for our services are used to support and maintain the operational costs of the Clinic. </w:t>
      </w:r>
    </w:p>
    <w:p w14:paraId="63C1F20D" w14:textId="581352DE" w:rsidR="00F86D23" w:rsidRPr="00B22FFE" w:rsidRDefault="00F86D23">
      <w:pPr>
        <w:rPr>
          <w:rFonts w:ascii="Calibri" w:hAnsi="Calibri" w:cs="Arial"/>
          <w:sz w:val="24"/>
          <w:szCs w:val="24"/>
        </w:rPr>
      </w:pPr>
      <w:r w:rsidRPr="00B22FFE">
        <w:rPr>
          <w:rFonts w:ascii="Calibri" w:hAnsi="Calibri" w:cs="Arial"/>
          <w:sz w:val="24"/>
          <w:szCs w:val="24"/>
        </w:rPr>
        <w:t xml:space="preserve">We are able to provide a sliding fee scale for our clinical services* for clients who qualify based on household size and </w:t>
      </w:r>
      <w:r w:rsidR="006B3482" w:rsidRPr="00B22FFE">
        <w:rPr>
          <w:rFonts w:ascii="Calibri" w:hAnsi="Calibri" w:cs="Arial"/>
          <w:sz w:val="24"/>
          <w:szCs w:val="24"/>
          <w:u w:val="single"/>
        </w:rPr>
        <w:t xml:space="preserve">annual </w:t>
      </w:r>
      <w:r w:rsidRPr="00B22FFE">
        <w:rPr>
          <w:rFonts w:ascii="Calibri" w:hAnsi="Calibri" w:cs="Arial"/>
          <w:sz w:val="24"/>
          <w:szCs w:val="24"/>
          <w:u w:val="single"/>
        </w:rPr>
        <w:t>gross income</w:t>
      </w:r>
      <w:r w:rsidRPr="00B22FFE">
        <w:rPr>
          <w:rFonts w:ascii="Calibri" w:hAnsi="Calibri" w:cs="Arial"/>
          <w:sz w:val="24"/>
          <w:szCs w:val="24"/>
        </w:rPr>
        <w:t>.  Our office staff is available to assist clients in determining if they are eligible for our sliding fee options.  Clients must provide</w:t>
      </w:r>
      <w:r w:rsidR="006B3482" w:rsidRPr="00B22FFE">
        <w:rPr>
          <w:rFonts w:ascii="Calibri" w:hAnsi="Calibri" w:cs="Arial"/>
          <w:sz w:val="24"/>
          <w:szCs w:val="24"/>
        </w:rPr>
        <w:t xml:space="preserve"> the clinic a copy of t</w:t>
      </w:r>
      <w:r w:rsidRPr="00B22FFE">
        <w:rPr>
          <w:rFonts w:ascii="Calibri" w:hAnsi="Calibri" w:cs="Arial"/>
          <w:sz w:val="24"/>
          <w:szCs w:val="24"/>
        </w:rPr>
        <w:t>he previous year’s 1040 tax form</w:t>
      </w:r>
      <w:r w:rsidR="006B3482" w:rsidRPr="00B22FFE">
        <w:rPr>
          <w:rFonts w:ascii="Calibri" w:hAnsi="Calibri" w:cs="Arial"/>
          <w:sz w:val="24"/>
          <w:szCs w:val="24"/>
        </w:rPr>
        <w:t xml:space="preserve"> in order to determine eligibility discounted services.  </w:t>
      </w:r>
    </w:p>
    <w:p w14:paraId="298B008E" w14:textId="2E7A9C04" w:rsidR="006B3482" w:rsidRPr="00B22FFE" w:rsidRDefault="006B3482">
      <w:pPr>
        <w:rPr>
          <w:rFonts w:ascii="Calibri" w:hAnsi="Calibri" w:cs="Arial"/>
          <w:sz w:val="24"/>
          <w:szCs w:val="24"/>
        </w:rPr>
      </w:pPr>
      <w:r w:rsidRPr="00B22FFE">
        <w:rPr>
          <w:rFonts w:ascii="Calibri" w:hAnsi="Calibri" w:cs="Arial"/>
          <w:sz w:val="24"/>
          <w:szCs w:val="24"/>
        </w:rPr>
        <w:t>Eligibility for reduced fees will need to be demonstrated annually.</w:t>
      </w:r>
    </w:p>
    <w:p w14:paraId="7232A112" w14:textId="4207267C" w:rsidR="006C3209" w:rsidRPr="006C3209" w:rsidRDefault="006B3482">
      <w:pPr>
        <w:rPr>
          <w:rFonts w:ascii="Calibri" w:hAnsi="Calibri" w:cs="Arial"/>
          <w:sz w:val="24"/>
          <w:szCs w:val="24"/>
        </w:rPr>
      </w:pPr>
      <w:r w:rsidRPr="00B22FFE">
        <w:rPr>
          <w:rFonts w:ascii="Calibri" w:hAnsi="Calibri" w:cs="Arial"/>
          <w:sz w:val="24"/>
          <w:szCs w:val="24"/>
        </w:rPr>
        <w:t>Discount levels for clients who qualify are shown below</w:t>
      </w:r>
      <w:r w:rsidR="00AB76BE">
        <w:rPr>
          <w:rFonts w:ascii="Calibri" w:hAnsi="Calibri" w:cs="Arial"/>
          <w:sz w:val="24"/>
          <w:szCs w:val="24"/>
        </w:rPr>
        <w:t>:</w:t>
      </w:r>
    </w:p>
    <w:p w14:paraId="1BB01FBF" w14:textId="77777777" w:rsidR="00B22FFE" w:rsidRPr="00B22FFE" w:rsidRDefault="00B22FFE" w:rsidP="00B22FFE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9756" w:type="dxa"/>
        <w:tblInd w:w="-406" w:type="dxa"/>
        <w:tblLook w:val="04A0" w:firstRow="1" w:lastRow="0" w:firstColumn="1" w:lastColumn="0" w:noHBand="0" w:noVBand="1"/>
      </w:tblPr>
      <w:tblGrid>
        <w:gridCol w:w="1088"/>
        <w:gridCol w:w="472"/>
        <w:gridCol w:w="968"/>
        <w:gridCol w:w="1800"/>
        <w:gridCol w:w="1800"/>
        <w:gridCol w:w="488"/>
        <w:gridCol w:w="1312"/>
        <w:gridCol w:w="1592"/>
        <w:gridCol w:w="118"/>
        <w:gridCol w:w="118"/>
      </w:tblGrid>
      <w:tr w:rsidR="006B3482" w:rsidRPr="006B3482" w14:paraId="3A936349" w14:textId="77777777" w:rsidTr="00A2776B">
        <w:trPr>
          <w:gridAfter w:val="1"/>
          <w:wAfter w:w="118" w:type="dxa"/>
          <w:trHeight w:val="52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BF93" w14:textId="15AF0766" w:rsidR="006B3482" w:rsidRPr="00B22FFE" w:rsidRDefault="00B22FFE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CCCA38" w14:textId="572D334C" w:rsidR="00F608D0" w:rsidRPr="006B3482" w:rsidRDefault="00F608D0" w:rsidP="00A2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89DC" w14:textId="2BB653FB" w:rsidR="006B3482" w:rsidRPr="003F75EF" w:rsidRDefault="006B3482" w:rsidP="00A2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F75E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202</w:t>
            </w:r>
            <w:r w:rsidR="00E731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</w:t>
            </w:r>
            <w:r w:rsidRPr="003F75E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Sliding Fee Schedule for Services *</w:t>
            </w:r>
          </w:p>
        </w:tc>
      </w:tr>
      <w:tr w:rsidR="006B3482" w:rsidRPr="006B3482" w14:paraId="55C54A1B" w14:textId="77777777" w:rsidTr="00A2776B">
        <w:trPr>
          <w:gridAfter w:val="1"/>
          <w:wAfter w:w="118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C15C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80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A72E4" w14:textId="7772A046" w:rsidR="006B3482" w:rsidRPr="003F75EF" w:rsidRDefault="003B05AC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Base</w:t>
            </w:r>
            <w:r w:rsidR="00E73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on 202</w:t>
            </w:r>
            <w:r w:rsidR="00E73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B3482" w:rsidRPr="003F75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Federal Poverty Guideline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  <w:p w14:paraId="7BB7A5E8" w14:textId="77777777" w:rsidR="00A2776B" w:rsidRDefault="00A2776B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58AB818" w14:textId="1B504597" w:rsidR="00A2776B" w:rsidRPr="006B3482" w:rsidRDefault="00A2776B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76B" w:rsidRPr="006B3482" w14:paraId="31435EAD" w14:textId="77777777" w:rsidTr="00A2776B">
        <w:trPr>
          <w:gridAfter w:val="1"/>
          <w:wAfter w:w="118" w:type="dxa"/>
          <w:trHeight w:val="6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E267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Family Size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2ECF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 or below 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872D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AA3A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150%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6DF3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175%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FF49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200%</w:t>
            </w:r>
          </w:p>
        </w:tc>
      </w:tr>
      <w:tr w:rsidR="00A2776B" w:rsidRPr="006B3482" w14:paraId="1DD3140D" w14:textId="77777777" w:rsidTr="00A2776B">
        <w:trPr>
          <w:gridAfter w:val="1"/>
          <w:wAfter w:w="118" w:type="dxa"/>
          <w:trHeight w:val="48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CD72" w14:textId="4F64B08A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438A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Full Discount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D6A7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75% Discount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C1F2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50% Discount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55BA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25% Discount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A13B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 Discount</w:t>
            </w:r>
          </w:p>
        </w:tc>
      </w:tr>
      <w:tr w:rsidR="00E7315E" w:rsidRPr="006B3482" w14:paraId="311C2810" w14:textId="77777777" w:rsidTr="00FE5B06">
        <w:trPr>
          <w:gridAfter w:val="1"/>
          <w:wAfter w:w="118" w:type="dxa"/>
          <w:trHeight w:val="30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25E" w14:textId="77777777" w:rsidR="00E7315E" w:rsidRPr="006B348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CA1A" w14:textId="30CF7A2B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14,580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2C00" w14:textId="538C316D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$18,225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CCB2" w14:textId="750D6288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$21,870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BA8E" w14:textId="52DC721A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$25,515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B706" w14:textId="4D0B218F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$29,160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315E" w:rsidRPr="006B3482" w14:paraId="15067E0E" w14:textId="77777777" w:rsidTr="00FE5B06">
        <w:trPr>
          <w:gridAfter w:val="1"/>
          <w:wAfter w:w="118" w:type="dxa"/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136" w14:textId="77777777" w:rsidR="00E7315E" w:rsidRPr="006B348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EE76" w14:textId="5FB61CE6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19,720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0765" w14:textId="02A62791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$24,650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A86C" w14:textId="6CE2EAEC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$29,580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2574" w14:textId="44BE6909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$34,510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B465" w14:textId="6E21A3BB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$39,440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315E" w:rsidRPr="006B3482" w14:paraId="23F8D4AC" w14:textId="77777777" w:rsidTr="00FE5B06">
        <w:trPr>
          <w:gridAfter w:val="1"/>
          <w:wAfter w:w="118" w:type="dxa"/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A020" w14:textId="77777777" w:rsidR="00E7315E" w:rsidRPr="006B348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B893" w14:textId="77F9B7C6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24,860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CE26" w14:textId="689C25C8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$31,075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4D44" w14:textId="5D08AB2C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$37,290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EBCB" w14:textId="5F3FF016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$43,505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862A" w14:textId="6275C35A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$49,720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315E" w:rsidRPr="006B3482" w14:paraId="4C4A44B6" w14:textId="77777777" w:rsidTr="00FE5B06">
        <w:trPr>
          <w:gridAfter w:val="1"/>
          <w:wAfter w:w="118" w:type="dxa"/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950A" w14:textId="77777777" w:rsidR="00E7315E" w:rsidRPr="006B348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7035" w14:textId="1B257873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30,000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7758" w14:textId="6ABB2008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$37,500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5FDB" w14:textId="59A34108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$45,000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3C30" w14:textId="6C33F62F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$52,500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B902" w14:textId="46F87421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$60,000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315E" w:rsidRPr="006B3482" w14:paraId="221E69C2" w14:textId="77777777" w:rsidTr="00FE5B06">
        <w:trPr>
          <w:gridAfter w:val="1"/>
          <w:wAfter w:w="118" w:type="dxa"/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E2CA" w14:textId="77777777" w:rsidR="00E7315E" w:rsidRPr="006B348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5611" w14:textId="45E71BEC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35,140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BF97" w14:textId="4AFA5E26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$43,925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CF89" w14:textId="0CCDD277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$52,710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7FC7" w14:textId="2ECB1EA2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$61,495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DA4D" w14:textId="0E8BCB68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$70,280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315E" w:rsidRPr="006B3482" w14:paraId="66AC78AE" w14:textId="77777777" w:rsidTr="00FE5B06">
        <w:trPr>
          <w:gridAfter w:val="1"/>
          <w:wAfter w:w="118" w:type="dxa"/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A48" w14:textId="77777777" w:rsidR="00E7315E" w:rsidRPr="006B348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857A" w14:textId="3FB47C8B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40,280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7170" w14:textId="3B7A28CC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$50,350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A08B" w14:textId="270DFA28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$60,420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B995" w14:textId="3CBD2523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$70,490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4EBD" w14:textId="0C97069C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$80,560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315E" w:rsidRPr="006B3482" w14:paraId="40393DE5" w14:textId="77777777" w:rsidTr="00FE5B06">
        <w:trPr>
          <w:gridAfter w:val="1"/>
          <w:wAfter w:w="118" w:type="dxa"/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AB1E" w14:textId="77777777" w:rsidR="00E7315E" w:rsidRPr="006B348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53B3" w14:textId="310D1C1D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45,420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BD89" w14:textId="0E900AA9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$56,775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2F54" w14:textId="5911880B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$68,130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550D" w14:textId="72F49AAE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$79,485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9BA8" w14:textId="02FC43F7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$90,840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315E" w:rsidRPr="006B3482" w14:paraId="29AF998C" w14:textId="77777777" w:rsidTr="00FE5B06">
        <w:trPr>
          <w:gridAfter w:val="1"/>
          <w:wAfter w:w="118" w:type="dxa"/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4711" w14:textId="77777777" w:rsidR="00E7315E" w:rsidRPr="006B348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34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3EF4" w14:textId="7062B297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50,560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E024" w14:textId="25EBBCF2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$63,200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CC8C" w14:textId="56636EA0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$75,840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0048" w14:textId="3F7EDFA2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$88,480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B9E1" w14:textId="5F36FF65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$101,120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315E" w:rsidRPr="006B3482" w14:paraId="777B734C" w14:textId="77777777" w:rsidTr="00FE5B06">
        <w:trPr>
          <w:gridAfter w:val="1"/>
          <w:wAfter w:w="118" w:type="dxa"/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6512" w14:textId="1277D6C1" w:rsidR="00E7315E" w:rsidRPr="006B348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3228E" w14:textId="3CC577C5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55,700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7236" w14:textId="0CF91406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$69,625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7462D" w14:textId="75DEA825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$83,550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0DE8" w14:textId="7616416E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$97,475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43CA" w14:textId="764E988A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$111,400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315E" w:rsidRPr="006B3482" w14:paraId="6A025433" w14:textId="77777777" w:rsidTr="00161632">
        <w:trPr>
          <w:gridAfter w:val="1"/>
          <w:wAfter w:w="118" w:type="dxa"/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6FB3" w14:textId="4C60FF77" w:rsidR="00E7315E" w:rsidRPr="006B348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FCA6" w14:textId="492296E3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60.840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1EE1" w14:textId="4EF60E23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$76,050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8EE0" w14:textId="3A58A8EC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$91,260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325E" w14:textId="3DDF6E4F" w:rsidR="00E7315E" w:rsidRPr="00360374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$106,470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17E3" w14:textId="38A604C1" w:rsidR="00E7315E" w:rsidRPr="00F138C2" w:rsidRDefault="00E7315E" w:rsidP="00E73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$121,680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B3482" w:rsidRPr="006B3482" w14:paraId="76FCA2CC" w14:textId="77777777" w:rsidTr="00360374">
        <w:trPr>
          <w:trHeight w:val="390"/>
        </w:trPr>
        <w:tc>
          <w:tcPr>
            <w:tcW w:w="6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CA3C8" w14:textId="2F0E0A86" w:rsidR="006B3482" w:rsidRPr="003B05AC" w:rsidRDefault="003B05AC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05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*Discount charges </w:t>
            </w:r>
            <w:r w:rsidR="003603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may only be applied to</w:t>
            </w:r>
            <w:r w:rsidRPr="003B05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services (not</w:t>
            </w:r>
            <w:r w:rsidR="003603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3B05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products)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170F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767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3482" w:rsidRPr="006B3482" w14:paraId="3FE43184" w14:textId="77777777" w:rsidTr="00A2776B">
        <w:trPr>
          <w:trHeight w:val="300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E89B" w14:textId="23E33F82" w:rsidR="006B3482" w:rsidRDefault="003B05AC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05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  <w:r w:rsidR="006B3482" w:rsidRPr="003B05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 families/households with more than </w:t>
            </w:r>
            <w:r w:rsidR="003603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="006B3482" w:rsidRPr="003B05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persons add $</w:t>
            </w:r>
            <w:r w:rsidR="00E731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6B3482" w:rsidRPr="003B05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="00E731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3831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6B3482" w:rsidRPr="003B05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 for each additional person</w:t>
            </w:r>
            <w:r w:rsidR="0080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11510337" w14:textId="6BF50010" w:rsidR="00BA6020" w:rsidRDefault="00BA6020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11050A9" w14:textId="59F33E22" w:rsidR="00BA6020" w:rsidRDefault="00BA6020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3A376EA" w14:textId="78FBB395" w:rsidR="00BA6020" w:rsidRDefault="00BA6020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Client Name: ______________________________________ Date of Birth: ________________</w:t>
            </w:r>
          </w:p>
          <w:p w14:paraId="6B2541A1" w14:textId="0F53A9EA" w:rsidR="00BA6020" w:rsidRDefault="00BA6020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7AA2331" w14:textId="49BE28E5" w:rsidR="00BA6020" w:rsidRDefault="00BA6020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Name of person completing form: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  <w:t>_________________________________________________</w:t>
            </w:r>
          </w:p>
          <w:p w14:paraId="1F33C517" w14:textId="201CCC6A" w:rsidR="00BA6020" w:rsidRDefault="00BA6020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BDAB5CF" w14:textId="30F3E9C9" w:rsidR="00BA6020" w:rsidRDefault="00BA6020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Relationship to client: ______________________________</w:t>
            </w:r>
            <w:r w:rsidR="000E32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9E23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Today’s date:  </w:t>
            </w:r>
            <w:r w:rsidR="009E23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 w:rsidR="009E23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 w:rsidR="009E23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 w:rsidR="009E23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 w:rsidR="009E23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  <w:t>_________________</w:t>
            </w:r>
          </w:p>
          <w:p w14:paraId="2C12C4EE" w14:textId="6719BAD8" w:rsidR="000E3275" w:rsidRDefault="000E3275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4FE57C8" w14:textId="1488CB2C" w:rsidR="008025C0" w:rsidRPr="003B05AC" w:rsidRDefault="000E3275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Signature of person completing form:  ______________________________________________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6E3F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3482" w:rsidRPr="006B3482" w14:paraId="5BFE3612" w14:textId="77777777" w:rsidTr="00A2776B">
        <w:trPr>
          <w:trHeight w:val="300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6B7F" w14:textId="21B9F323" w:rsidR="006B3482" w:rsidRPr="003F75EF" w:rsidRDefault="006B3482" w:rsidP="003B0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B91B" w14:textId="77777777" w:rsidR="006B3482" w:rsidRPr="006B3482" w:rsidRDefault="006B3482" w:rsidP="00A2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B190570" w14:textId="72758A52" w:rsidR="00F86D23" w:rsidRDefault="003603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Process:</w:t>
      </w:r>
    </w:p>
    <w:p w14:paraId="22485D88" w14:textId="082B8236" w:rsidR="00360374" w:rsidRDefault="003603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proofErr w:type="gramStart"/>
      <w:r>
        <w:rPr>
          <w:rFonts w:cstheme="minorHAnsi"/>
          <w:sz w:val="24"/>
          <w:szCs w:val="24"/>
        </w:rPr>
        <w:t>client inquiries</w:t>
      </w:r>
      <w:proofErr w:type="gramEnd"/>
      <w:r>
        <w:rPr>
          <w:rFonts w:cstheme="minorHAnsi"/>
          <w:sz w:val="24"/>
          <w:szCs w:val="24"/>
        </w:rPr>
        <w:t xml:space="preserve"> about our sliding fee scale to a student clinician or clinical educator, they should be referred to the Clinic Office for more information and the form to complete the application for reduced fees.</w:t>
      </w:r>
    </w:p>
    <w:p w14:paraId="672131FD" w14:textId="77777777" w:rsidR="00C077E0" w:rsidRDefault="003603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Clinic Office gives the client a blank APPLICATION FOR REDUCED FEES form (Page 1 of this document) to complete.  Office staff should make a miscellaneous note these forms were provided.  Client instructed to return completed form AND a copy of their previous year’s 1040 tax form</w:t>
      </w:r>
      <w:r w:rsidR="00C077E0">
        <w:rPr>
          <w:rFonts w:cstheme="minorHAnsi"/>
          <w:sz w:val="24"/>
          <w:szCs w:val="24"/>
        </w:rPr>
        <w:t xml:space="preserve"> to include gross annual income and family size.  </w:t>
      </w:r>
    </w:p>
    <w:p w14:paraId="082F0B78" w14:textId="234F3758" w:rsidR="00360374" w:rsidRDefault="00C077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Once received the clinic office staff will give these forms to the Clinic Director for calculation and determination of qualification.</w:t>
      </w:r>
    </w:p>
    <w:p w14:paraId="1DD80313" w14:textId="1E63277F" w:rsidR="000136CB" w:rsidRDefault="00C077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Clinic Director will notify the Medical Insurance Associate of the result.  The Medical Insurance Associate will apply the proper fee schedule and notify the client of the result.  </w:t>
      </w:r>
      <w:r w:rsidR="000136CB">
        <w:rPr>
          <w:rFonts w:cstheme="minorHAnsi"/>
          <w:sz w:val="24"/>
          <w:szCs w:val="24"/>
        </w:rPr>
        <w:t xml:space="preserve">The completed application form will be scanned into the client’s </w:t>
      </w:r>
      <w:proofErr w:type="spellStart"/>
      <w:r w:rsidR="000136CB">
        <w:rPr>
          <w:rFonts w:cstheme="minorHAnsi"/>
          <w:sz w:val="24"/>
          <w:szCs w:val="24"/>
        </w:rPr>
        <w:t>OpenBilling</w:t>
      </w:r>
      <w:proofErr w:type="spellEnd"/>
      <w:r w:rsidR="000136CB">
        <w:rPr>
          <w:rFonts w:cstheme="minorHAnsi"/>
          <w:sz w:val="24"/>
          <w:szCs w:val="24"/>
        </w:rPr>
        <w:t xml:space="preserve"> record and the supporting financial documents will be confidentially recycled.  </w:t>
      </w:r>
    </w:p>
    <w:p w14:paraId="3D00283C" w14:textId="35F34E42" w:rsidR="000136CB" w:rsidRDefault="000136CB" w:rsidP="0001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The Medical Insurance Associate will a</w:t>
      </w:r>
      <w:r w:rsidRPr="000136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dd a note on "admin notes," including the date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the fee schedule was</w:t>
      </w:r>
      <w:r w:rsidRPr="000136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change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d and adjusted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O</w:t>
      </w:r>
      <w:r w:rsidRPr="000136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pen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R</w:t>
      </w:r>
      <w:r w:rsidRPr="000136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egistration</w:t>
      </w:r>
      <w:proofErr w:type="spellEnd"/>
      <w:r w:rsidRPr="000136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 The</w:t>
      </w:r>
      <w:r w:rsidRPr="000136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term date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will be added </w:t>
      </w:r>
      <w:r w:rsidRPr="000136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to keep track of when the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cl</w:t>
      </w:r>
      <w:r w:rsidRPr="000136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ient needs to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re-</w:t>
      </w:r>
      <w:r w:rsidRPr="000136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apply. </w:t>
      </w:r>
    </w:p>
    <w:p w14:paraId="1E683AED" w14:textId="77777777" w:rsidR="000136CB" w:rsidRPr="000136CB" w:rsidRDefault="000136CB" w:rsidP="0001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0AF78C" w14:textId="6119FCB2" w:rsidR="00C077E0" w:rsidRPr="00F86D23" w:rsidRDefault="00C077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 client qualifies, this notification will also include a deadline for coverage (one year) and the reminder to continue to qualify in subsequent years a current 1040 tax form will need to be provided.</w:t>
      </w:r>
      <w:r w:rsidR="000136CB">
        <w:rPr>
          <w:rFonts w:cstheme="minorHAnsi"/>
          <w:sz w:val="24"/>
          <w:szCs w:val="24"/>
        </w:rPr>
        <w:t xml:space="preserve">  </w:t>
      </w:r>
    </w:p>
    <w:sectPr w:rsidR="00C077E0" w:rsidRPr="00F86D23" w:rsidSect="003F75E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23"/>
    <w:rsid w:val="000136CB"/>
    <w:rsid w:val="000455B9"/>
    <w:rsid w:val="000E3275"/>
    <w:rsid w:val="00360374"/>
    <w:rsid w:val="00365520"/>
    <w:rsid w:val="0038310A"/>
    <w:rsid w:val="003A79DD"/>
    <w:rsid w:val="003B05AC"/>
    <w:rsid w:val="003F75EF"/>
    <w:rsid w:val="00562C21"/>
    <w:rsid w:val="005A7B86"/>
    <w:rsid w:val="006B3482"/>
    <w:rsid w:val="006C3209"/>
    <w:rsid w:val="00792000"/>
    <w:rsid w:val="008025C0"/>
    <w:rsid w:val="00973784"/>
    <w:rsid w:val="009E23EA"/>
    <w:rsid w:val="00A2776B"/>
    <w:rsid w:val="00AB76BE"/>
    <w:rsid w:val="00B22FFE"/>
    <w:rsid w:val="00BA6020"/>
    <w:rsid w:val="00C077E0"/>
    <w:rsid w:val="00D6717E"/>
    <w:rsid w:val="00DB107E"/>
    <w:rsid w:val="00E7315E"/>
    <w:rsid w:val="00F138C2"/>
    <w:rsid w:val="00F608D0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AF01"/>
  <w15:chartTrackingRefBased/>
  <w15:docId w15:val="{52670BBC-F756-443E-840E-31D9E1EE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7315E"/>
  </w:style>
  <w:style w:type="character" w:customStyle="1" w:styleId="eop">
    <w:name w:val="eop"/>
    <w:basedOn w:val="DefaultParagraphFont"/>
    <w:rsid w:val="00E73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8FBD58186D44FA303E237DAB22FF8" ma:contentTypeVersion="14" ma:contentTypeDescription="Create a new document." ma:contentTypeScope="" ma:versionID="c269fec5508108c6bbd1a76090ba2fb5">
  <xsd:schema xmlns:xsd="http://www.w3.org/2001/XMLSchema" xmlns:xs="http://www.w3.org/2001/XMLSchema" xmlns:p="http://schemas.microsoft.com/office/2006/metadata/properties" xmlns:ns2="757ac6ca-cfc9-4c73-93fc-a023f5cf942f" xmlns:ns3="360a55f2-2e33-4178-989f-6a7d39624c3f" targetNamespace="http://schemas.microsoft.com/office/2006/metadata/properties" ma:root="true" ma:fieldsID="f488b327e211bc28930395bc6283bdfe" ns2:_="" ns3:_="">
    <xsd:import namespace="757ac6ca-cfc9-4c73-93fc-a023f5cf942f"/>
    <xsd:import namespace="360a55f2-2e33-4178-989f-6a7d3962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ac6ca-cfc9-4c73-93fc-a023f5cf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a55f2-2e33-4178-989f-6a7d3962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66481-EB46-8A49-BCD0-1900DDD5C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1DDFD-61FE-4E4B-9F13-F01B2436EB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8A1DB7-8ABA-4C91-9A57-65B53C1D4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D50BB-4563-4CB2-A23E-F6085B600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Verticchio, Heidi</dc:creator>
  <cp:keywords/>
  <dc:description/>
  <cp:lastModifiedBy>Verticchio, Heidi</cp:lastModifiedBy>
  <cp:revision>2</cp:revision>
  <cp:lastPrinted>2020-02-03T16:20:00Z</cp:lastPrinted>
  <dcterms:created xsi:type="dcterms:W3CDTF">2023-01-23T19:04:00Z</dcterms:created>
  <dcterms:modified xsi:type="dcterms:W3CDTF">2023-01-23T19:04:00Z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0x010100E548FBD58186D44FA303E237DAB22FF8</vt:lpwstr>
  </property>
</Properties>
</file>